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002A4" w14:textId="14631512" w:rsidR="00D85A5F" w:rsidRPr="00F37825" w:rsidRDefault="00D85A5F" w:rsidP="00F37825">
      <w:pPr>
        <w:pStyle w:val="Default"/>
        <w:jc w:val="center"/>
      </w:pPr>
      <w:r w:rsidRPr="00F37825">
        <w:rPr>
          <w:b/>
          <w:bCs/>
        </w:rPr>
        <w:t>Segregated Investment Fund Sales Charge Disclosure Form</w:t>
      </w:r>
    </w:p>
    <w:p w14:paraId="4520BF98" w14:textId="0B58F6A2" w:rsidR="00F37825" w:rsidRDefault="00F37825" w:rsidP="0024655C">
      <w:pPr>
        <w:spacing w:after="0"/>
        <w:rPr>
          <w:rFonts w:ascii="Arial" w:hAnsi="Arial" w:cs="Arial"/>
          <w:sz w:val="18"/>
          <w:szCs w:val="18"/>
        </w:rPr>
      </w:pPr>
    </w:p>
    <w:p w14:paraId="3A75AB68" w14:textId="27510F73" w:rsidR="00A47B08" w:rsidRPr="0024655C" w:rsidRDefault="00D85A5F" w:rsidP="0024655C">
      <w:pPr>
        <w:spacing w:after="0"/>
        <w:rPr>
          <w:rFonts w:ascii="Arial" w:hAnsi="Arial" w:cs="Arial"/>
          <w:sz w:val="18"/>
          <w:szCs w:val="18"/>
        </w:rPr>
      </w:pPr>
      <w:r w:rsidRPr="0024655C">
        <w:rPr>
          <w:rFonts w:ascii="Arial" w:hAnsi="Arial" w:cs="Arial"/>
          <w:sz w:val="18"/>
          <w:szCs w:val="18"/>
        </w:rPr>
        <w:t>Advisors receive commissions from the financial products they sell to you</w:t>
      </w:r>
      <w:r w:rsidR="00D6449C">
        <w:rPr>
          <w:rFonts w:ascii="Arial" w:hAnsi="Arial" w:cs="Arial"/>
          <w:sz w:val="18"/>
          <w:szCs w:val="18"/>
        </w:rPr>
        <w:t xml:space="preserve">. </w:t>
      </w:r>
      <w:r w:rsidRPr="0024655C">
        <w:rPr>
          <w:rFonts w:ascii="Arial" w:hAnsi="Arial" w:cs="Arial"/>
          <w:sz w:val="18"/>
          <w:szCs w:val="18"/>
        </w:rPr>
        <w:t>It’s important to learn the different styles of compensation, so you can make an informed decision about which type you prefer. Segregated funds can have different types of initial commissions</w:t>
      </w:r>
      <w:r w:rsidR="001E2DF7">
        <w:rPr>
          <w:rFonts w:ascii="Arial" w:hAnsi="Arial" w:cs="Arial"/>
          <w:sz w:val="18"/>
          <w:szCs w:val="18"/>
        </w:rPr>
        <w:t>,</w:t>
      </w:r>
      <w:r w:rsidRPr="0024655C">
        <w:rPr>
          <w:rFonts w:ascii="Arial" w:hAnsi="Arial" w:cs="Arial"/>
          <w:sz w:val="18"/>
          <w:szCs w:val="18"/>
        </w:rPr>
        <w:t xml:space="preserve"> each determining how you will pay for the financial service and advice that you receive.</w:t>
      </w:r>
    </w:p>
    <w:p w14:paraId="55340E48" w14:textId="77777777" w:rsidR="00D85A5F" w:rsidRPr="00E909FC" w:rsidRDefault="00D85A5F" w:rsidP="0024655C">
      <w:pPr>
        <w:pStyle w:val="Default"/>
        <w:rPr>
          <w:sz w:val="12"/>
          <w:szCs w:val="12"/>
        </w:rPr>
      </w:pPr>
    </w:p>
    <w:p w14:paraId="771559F6" w14:textId="23AA81A5" w:rsidR="00D85A5F" w:rsidRPr="0024655C" w:rsidRDefault="00D85A5F" w:rsidP="0024655C">
      <w:pPr>
        <w:spacing w:after="0"/>
        <w:rPr>
          <w:rFonts w:ascii="Arial" w:hAnsi="Arial" w:cs="Arial"/>
          <w:sz w:val="18"/>
          <w:szCs w:val="18"/>
        </w:rPr>
      </w:pPr>
      <w:r w:rsidRPr="0024655C">
        <w:rPr>
          <w:rFonts w:ascii="Arial" w:hAnsi="Arial" w:cs="Arial"/>
          <w:b/>
          <w:bCs/>
          <w:sz w:val="18"/>
          <w:szCs w:val="18"/>
        </w:rPr>
        <w:t xml:space="preserve">Front End Load (FEL) commissions </w:t>
      </w:r>
      <w:r w:rsidRPr="0024655C">
        <w:rPr>
          <w:rFonts w:ascii="Arial" w:hAnsi="Arial" w:cs="Arial"/>
          <w:sz w:val="18"/>
          <w:szCs w:val="18"/>
        </w:rPr>
        <w:t>are a percentage of the transaction amount. For example</w:t>
      </w:r>
      <w:r w:rsidR="00D6449C">
        <w:rPr>
          <w:rFonts w:ascii="Arial" w:hAnsi="Arial" w:cs="Arial"/>
          <w:sz w:val="18"/>
          <w:szCs w:val="18"/>
        </w:rPr>
        <w:t>,</w:t>
      </w:r>
      <w:r w:rsidRPr="0024655C">
        <w:rPr>
          <w:rFonts w:ascii="Arial" w:hAnsi="Arial" w:cs="Arial"/>
          <w:sz w:val="18"/>
          <w:szCs w:val="18"/>
        </w:rPr>
        <w:t xml:space="preserve"> if you invest $1000 into a segregated fund with a front</w:t>
      </w:r>
      <w:r w:rsidR="006C216F">
        <w:rPr>
          <w:rFonts w:ascii="Arial" w:hAnsi="Arial" w:cs="Arial"/>
          <w:sz w:val="18"/>
          <w:szCs w:val="18"/>
        </w:rPr>
        <w:t>-</w:t>
      </w:r>
      <w:r w:rsidRPr="0024655C">
        <w:rPr>
          <w:rFonts w:ascii="Arial" w:hAnsi="Arial" w:cs="Arial"/>
          <w:sz w:val="18"/>
          <w:szCs w:val="18"/>
        </w:rPr>
        <w:t>end fee of 1.5%, the total commission is $15 and the remaining $985 will be deposited to your segregated fund account.</w:t>
      </w:r>
    </w:p>
    <w:p w14:paraId="75116925" w14:textId="77777777" w:rsidR="00D85A5F" w:rsidRPr="00E909FC" w:rsidRDefault="00D85A5F" w:rsidP="0024655C">
      <w:pPr>
        <w:pStyle w:val="Default"/>
        <w:rPr>
          <w:sz w:val="12"/>
          <w:szCs w:val="12"/>
        </w:rPr>
      </w:pPr>
    </w:p>
    <w:p w14:paraId="657E729A" w14:textId="1A99AFCA" w:rsidR="00D85A5F" w:rsidRDefault="00D85A5F" w:rsidP="0024655C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24655C">
        <w:rPr>
          <w:rFonts w:ascii="Arial" w:hAnsi="Arial" w:cs="Arial"/>
          <w:b/>
          <w:bCs/>
          <w:sz w:val="18"/>
          <w:szCs w:val="18"/>
        </w:rPr>
        <w:t xml:space="preserve">Deferred Sales Charge (DSC) commissions </w:t>
      </w:r>
      <w:r w:rsidRPr="0024655C">
        <w:rPr>
          <w:rFonts w:ascii="Arial" w:hAnsi="Arial" w:cs="Arial"/>
          <w:sz w:val="18"/>
          <w:szCs w:val="18"/>
        </w:rPr>
        <w:t xml:space="preserve">are paid by the life insurance company, so you do not see a fee deducted from your initial investment amount. For example; if you buy $1000 of segregated funds using the DSC method, the total initial commission will be 5% or $50, but the entire $1000 will be deposited to your segregated fund account. </w:t>
      </w:r>
      <w:proofErr w:type="gramStart"/>
      <w:r w:rsidRPr="0024655C">
        <w:rPr>
          <w:rFonts w:ascii="Arial" w:hAnsi="Arial" w:cs="Arial"/>
          <w:sz w:val="18"/>
          <w:szCs w:val="18"/>
        </w:rPr>
        <w:t>However</w:t>
      </w:r>
      <w:proofErr w:type="gramEnd"/>
      <w:r w:rsidRPr="0024655C">
        <w:rPr>
          <w:rFonts w:ascii="Arial" w:hAnsi="Arial" w:cs="Arial"/>
          <w:sz w:val="18"/>
          <w:szCs w:val="18"/>
        </w:rPr>
        <w:t xml:space="preserve"> if you withdraw money from the fund within an initial set period of time, you will pay a redemption fee. Below is an example of a typical “DSC declining redemption charge schedule”. </w:t>
      </w:r>
      <w:r w:rsidRPr="0024655C">
        <w:rPr>
          <w:rFonts w:ascii="Arial" w:hAnsi="Arial" w:cs="Arial"/>
          <w:b/>
          <w:bCs/>
          <w:sz w:val="18"/>
          <w:szCs w:val="18"/>
        </w:rPr>
        <w:t>Your advisor will provide you with an information folder that contains the exact DSC redemption schedule applicable to the segregated fund you are purchasing.</w:t>
      </w:r>
    </w:p>
    <w:p w14:paraId="43AACAE9" w14:textId="2D09BA00" w:rsidR="008F3FBB" w:rsidRPr="00E909FC" w:rsidRDefault="008F3FBB" w:rsidP="0024655C">
      <w:pPr>
        <w:spacing w:after="0"/>
        <w:rPr>
          <w:rFonts w:ascii="Arial" w:hAnsi="Arial" w:cs="Arial"/>
          <w:b/>
          <w:bCs/>
          <w:sz w:val="12"/>
          <w:szCs w:val="1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3118"/>
        <w:gridCol w:w="3686"/>
      </w:tblGrid>
      <w:tr w:rsidR="008F3FBB" w14:paraId="19B84347" w14:textId="77777777" w:rsidTr="00756DC4">
        <w:tc>
          <w:tcPr>
            <w:tcW w:w="3261" w:type="dxa"/>
          </w:tcPr>
          <w:p w14:paraId="120612E8" w14:textId="2720AC48" w:rsidR="008F3FBB" w:rsidRPr="00756DC4" w:rsidRDefault="008F3FBB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b/>
                <w:bCs/>
                <w:sz w:val="18"/>
                <w:szCs w:val="18"/>
              </w:rPr>
              <w:t>When you withdraw your money:</w:t>
            </w:r>
          </w:p>
        </w:tc>
        <w:tc>
          <w:tcPr>
            <w:tcW w:w="6804" w:type="dxa"/>
            <w:gridSpan w:val="2"/>
          </w:tcPr>
          <w:p w14:paraId="0E101312" w14:textId="2F50E106" w:rsidR="008F3FBB" w:rsidRPr="00756DC4" w:rsidRDefault="008F3FBB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b/>
                <w:bCs/>
                <w:sz w:val="18"/>
                <w:szCs w:val="18"/>
              </w:rPr>
              <w:t>You pay a fund redemption fee of:</w:t>
            </w:r>
          </w:p>
        </w:tc>
      </w:tr>
      <w:tr w:rsidR="008F3FBB" w14:paraId="401B9937" w14:textId="77777777" w:rsidTr="00756DC4">
        <w:tc>
          <w:tcPr>
            <w:tcW w:w="3261" w:type="dxa"/>
          </w:tcPr>
          <w:p w14:paraId="4F0732FD" w14:textId="77777777" w:rsidR="008F3FBB" w:rsidRDefault="008F3FBB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623BEA9A" w14:textId="18E787DB" w:rsidR="008F3FBB" w:rsidRDefault="008F3FBB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Percentage</w:t>
            </w:r>
          </w:p>
        </w:tc>
        <w:tc>
          <w:tcPr>
            <w:tcW w:w="3686" w:type="dxa"/>
          </w:tcPr>
          <w:p w14:paraId="2FA3F5DB" w14:textId="70B58128" w:rsidR="008F3FBB" w:rsidRDefault="008F3FBB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 every $1000 you redeem, you pay:</w:t>
            </w:r>
          </w:p>
        </w:tc>
      </w:tr>
      <w:tr w:rsidR="0061692F" w14:paraId="48349974" w14:textId="77777777" w:rsidTr="00756DC4">
        <w:tc>
          <w:tcPr>
            <w:tcW w:w="3261" w:type="dxa"/>
          </w:tcPr>
          <w:p w14:paraId="7DD1B7D5" w14:textId="2B7E1DE6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Within 1st year after fund purchase</w:t>
            </w:r>
          </w:p>
        </w:tc>
        <w:tc>
          <w:tcPr>
            <w:tcW w:w="3118" w:type="dxa"/>
          </w:tcPr>
          <w:p w14:paraId="718652F3" w14:textId="77F19479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5.5% of the amount you redeem</w:t>
            </w:r>
          </w:p>
        </w:tc>
        <w:tc>
          <w:tcPr>
            <w:tcW w:w="3686" w:type="dxa"/>
          </w:tcPr>
          <w:p w14:paraId="492915C2" w14:textId="52915D9D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$55</w:t>
            </w:r>
          </w:p>
        </w:tc>
      </w:tr>
      <w:tr w:rsidR="0061692F" w14:paraId="547F8E9A" w14:textId="77777777" w:rsidTr="00756DC4">
        <w:tc>
          <w:tcPr>
            <w:tcW w:w="3261" w:type="dxa"/>
          </w:tcPr>
          <w:p w14:paraId="24EFD926" w14:textId="204DCEEF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During the 2nd year after purchase</w:t>
            </w:r>
          </w:p>
        </w:tc>
        <w:tc>
          <w:tcPr>
            <w:tcW w:w="3118" w:type="dxa"/>
          </w:tcPr>
          <w:p w14:paraId="206A50C3" w14:textId="09D9E976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5.0% of the amount you redeem</w:t>
            </w:r>
          </w:p>
        </w:tc>
        <w:tc>
          <w:tcPr>
            <w:tcW w:w="3686" w:type="dxa"/>
          </w:tcPr>
          <w:p w14:paraId="29A90708" w14:textId="61910494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$50</w:t>
            </w:r>
          </w:p>
        </w:tc>
      </w:tr>
      <w:tr w:rsidR="0061692F" w14:paraId="0946679E" w14:textId="77777777" w:rsidTr="00756DC4">
        <w:tc>
          <w:tcPr>
            <w:tcW w:w="3261" w:type="dxa"/>
          </w:tcPr>
          <w:p w14:paraId="3C8E9BD6" w14:textId="64085A26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During the 3rd year after purchase</w:t>
            </w:r>
          </w:p>
        </w:tc>
        <w:tc>
          <w:tcPr>
            <w:tcW w:w="3118" w:type="dxa"/>
          </w:tcPr>
          <w:p w14:paraId="45FD3E2D" w14:textId="07DDFEF4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5.0% of the amount you redeem</w:t>
            </w:r>
          </w:p>
        </w:tc>
        <w:tc>
          <w:tcPr>
            <w:tcW w:w="3686" w:type="dxa"/>
          </w:tcPr>
          <w:p w14:paraId="1F473198" w14:textId="019E5916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$50</w:t>
            </w:r>
          </w:p>
        </w:tc>
      </w:tr>
      <w:tr w:rsidR="0061692F" w14:paraId="0076B829" w14:textId="77777777" w:rsidTr="00756DC4">
        <w:tc>
          <w:tcPr>
            <w:tcW w:w="3261" w:type="dxa"/>
          </w:tcPr>
          <w:p w14:paraId="6D01D23E" w14:textId="2F774DE8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During the 4th year after purchase</w:t>
            </w:r>
          </w:p>
        </w:tc>
        <w:tc>
          <w:tcPr>
            <w:tcW w:w="3118" w:type="dxa"/>
          </w:tcPr>
          <w:p w14:paraId="79EB770D" w14:textId="6A8A9B1F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4.0% of the amount you redeem</w:t>
            </w:r>
          </w:p>
        </w:tc>
        <w:tc>
          <w:tcPr>
            <w:tcW w:w="3686" w:type="dxa"/>
          </w:tcPr>
          <w:p w14:paraId="59432887" w14:textId="33C4906A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$40</w:t>
            </w:r>
          </w:p>
        </w:tc>
      </w:tr>
      <w:tr w:rsidR="0061692F" w14:paraId="65F357BB" w14:textId="77777777" w:rsidTr="00756DC4">
        <w:tc>
          <w:tcPr>
            <w:tcW w:w="3261" w:type="dxa"/>
          </w:tcPr>
          <w:p w14:paraId="6583ACB2" w14:textId="0EF4788E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During the 5th year after purchase</w:t>
            </w:r>
          </w:p>
        </w:tc>
        <w:tc>
          <w:tcPr>
            <w:tcW w:w="3118" w:type="dxa"/>
          </w:tcPr>
          <w:p w14:paraId="07852487" w14:textId="626DF536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4.0% of the amount you redeem</w:t>
            </w:r>
          </w:p>
        </w:tc>
        <w:tc>
          <w:tcPr>
            <w:tcW w:w="3686" w:type="dxa"/>
          </w:tcPr>
          <w:p w14:paraId="19D6F14A" w14:textId="16E50575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$40</w:t>
            </w:r>
          </w:p>
        </w:tc>
      </w:tr>
      <w:tr w:rsidR="0061692F" w14:paraId="1EC8D9A8" w14:textId="77777777" w:rsidTr="00756DC4">
        <w:tc>
          <w:tcPr>
            <w:tcW w:w="3261" w:type="dxa"/>
          </w:tcPr>
          <w:p w14:paraId="43799572" w14:textId="53C186B3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During the 6th year after purchase</w:t>
            </w:r>
          </w:p>
        </w:tc>
        <w:tc>
          <w:tcPr>
            <w:tcW w:w="3118" w:type="dxa"/>
          </w:tcPr>
          <w:p w14:paraId="2A672190" w14:textId="2F65099C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3.0% of the amount you redeem</w:t>
            </w:r>
          </w:p>
        </w:tc>
        <w:tc>
          <w:tcPr>
            <w:tcW w:w="3686" w:type="dxa"/>
          </w:tcPr>
          <w:p w14:paraId="517F6169" w14:textId="6B0F0FE6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$30</w:t>
            </w:r>
          </w:p>
        </w:tc>
      </w:tr>
      <w:tr w:rsidR="0061692F" w14:paraId="5A96D259" w14:textId="77777777" w:rsidTr="00756DC4">
        <w:tc>
          <w:tcPr>
            <w:tcW w:w="3261" w:type="dxa"/>
          </w:tcPr>
          <w:p w14:paraId="1A52B3B6" w14:textId="425953D3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During the 7th year after purchase</w:t>
            </w:r>
          </w:p>
        </w:tc>
        <w:tc>
          <w:tcPr>
            <w:tcW w:w="3118" w:type="dxa"/>
          </w:tcPr>
          <w:p w14:paraId="71C51100" w14:textId="522E7C37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2.0% of the amount you redeem</w:t>
            </w:r>
          </w:p>
        </w:tc>
        <w:tc>
          <w:tcPr>
            <w:tcW w:w="3686" w:type="dxa"/>
          </w:tcPr>
          <w:p w14:paraId="302A1C92" w14:textId="37BF3692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$20</w:t>
            </w:r>
          </w:p>
        </w:tc>
      </w:tr>
      <w:tr w:rsidR="0061692F" w14:paraId="18E4D070" w14:textId="77777777" w:rsidTr="00756DC4">
        <w:tc>
          <w:tcPr>
            <w:tcW w:w="3261" w:type="dxa"/>
          </w:tcPr>
          <w:p w14:paraId="67107AD8" w14:textId="03011FE0" w:rsidR="0061692F" w:rsidRPr="00756DC4" w:rsidRDefault="00756DC4" w:rsidP="00616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1692F" w:rsidRPr="00756DC4">
              <w:rPr>
                <w:rFonts w:ascii="Arial" w:hAnsi="Arial" w:cs="Arial"/>
                <w:sz w:val="18"/>
                <w:szCs w:val="18"/>
              </w:rPr>
              <w:t xml:space="preserve">After 8th year </w:t>
            </w:r>
          </w:p>
        </w:tc>
        <w:tc>
          <w:tcPr>
            <w:tcW w:w="3118" w:type="dxa"/>
          </w:tcPr>
          <w:p w14:paraId="7E459A7D" w14:textId="149DC0FB" w:rsidR="0061692F" w:rsidRPr="00756DC4" w:rsidRDefault="00756DC4" w:rsidP="006169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56D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692F" w:rsidRPr="00756DC4">
              <w:rPr>
                <w:rFonts w:ascii="Arial" w:hAnsi="Arial" w:cs="Arial"/>
                <w:sz w:val="18"/>
                <w:szCs w:val="18"/>
              </w:rPr>
              <w:t xml:space="preserve">No fee </w:t>
            </w:r>
          </w:p>
        </w:tc>
        <w:tc>
          <w:tcPr>
            <w:tcW w:w="3686" w:type="dxa"/>
          </w:tcPr>
          <w:p w14:paraId="4F44AE70" w14:textId="6E9A516E" w:rsidR="0061692F" w:rsidRPr="00756DC4" w:rsidRDefault="0061692F" w:rsidP="00756D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6DC4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</w:tbl>
    <w:p w14:paraId="4723C9ED" w14:textId="69A83DF2" w:rsidR="00047EAE" w:rsidRPr="0024655C" w:rsidRDefault="00047EAE" w:rsidP="0024655C">
      <w:pPr>
        <w:pStyle w:val="Default"/>
        <w:rPr>
          <w:sz w:val="18"/>
          <w:szCs w:val="18"/>
        </w:rPr>
      </w:pPr>
    </w:p>
    <w:p w14:paraId="470DD4D1" w14:textId="0E78310A" w:rsidR="00047EAE" w:rsidRDefault="00047EAE" w:rsidP="0024655C">
      <w:pPr>
        <w:spacing w:after="0"/>
        <w:rPr>
          <w:rFonts w:ascii="Arial" w:hAnsi="Arial" w:cs="Arial"/>
          <w:sz w:val="18"/>
          <w:szCs w:val="18"/>
        </w:rPr>
      </w:pPr>
      <w:r w:rsidRPr="0024655C">
        <w:rPr>
          <w:rFonts w:ascii="Arial" w:hAnsi="Arial" w:cs="Arial"/>
          <w:b/>
          <w:bCs/>
          <w:sz w:val="18"/>
          <w:szCs w:val="18"/>
        </w:rPr>
        <w:t xml:space="preserve">Low Sales Charge (LSC) commissions - </w:t>
      </w:r>
      <w:r w:rsidRPr="0024655C">
        <w:rPr>
          <w:rFonts w:ascii="Arial" w:hAnsi="Arial" w:cs="Arial"/>
          <w:sz w:val="18"/>
          <w:szCs w:val="18"/>
        </w:rPr>
        <w:t xml:space="preserve">sometimes referred to as Low Load (LL) </w:t>
      </w:r>
      <w:r w:rsidRPr="0024655C">
        <w:rPr>
          <w:rFonts w:ascii="Arial" w:hAnsi="Arial" w:cs="Arial"/>
          <w:b/>
          <w:bCs/>
          <w:sz w:val="18"/>
          <w:szCs w:val="18"/>
        </w:rPr>
        <w:t xml:space="preserve">- </w:t>
      </w:r>
      <w:r w:rsidRPr="0024655C">
        <w:rPr>
          <w:rFonts w:ascii="Arial" w:hAnsi="Arial" w:cs="Arial"/>
          <w:sz w:val="18"/>
          <w:szCs w:val="18"/>
        </w:rPr>
        <w:t>work similar to the DSC option but pay a smaller total initial commission (typically up to 3%) and have smaller declining redemption charges, typically starting at 3%, and shorter redemption schedules, typically lasting 3 years.</w:t>
      </w:r>
    </w:p>
    <w:p w14:paraId="0324F235" w14:textId="14A5732B" w:rsidR="00274EE2" w:rsidRPr="00E909FC" w:rsidRDefault="00274EE2" w:rsidP="0024655C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3118"/>
        <w:gridCol w:w="3686"/>
      </w:tblGrid>
      <w:tr w:rsidR="00274EE2" w14:paraId="5026B3B4" w14:textId="77777777" w:rsidTr="00274EE2">
        <w:tc>
          <w:tcPr>
            <w:tcW w:w="3261" w:type="dxa"/>
          </w:tcPr>
          <w:p w14:paraId="1C0A5A77" w14:textId="2E59BDFA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EE2">
              <w:rPr>
                <w:rFonts w:ascii="Arial" w:hAnsi="Arial" w:cs="Arial"/>
                <w:b/>
                <w:bCs/>
                <w:sz w:val="18"/>
                <w:szCs w:val="18"/>
              </w:rPr>
              <w:t>When you withdraw your money:</w:t>
            </w:r>
          </w:p>
        </w:tc>
        <w:tc>
          <w:tcPr>
            <w:tcW w:w="6804" w:type="dxa"/>
            <w:gridSpan w:val="2"/>
          </w:tcPr>
          <w:p w14:paraId="543D565B" w14:textId="5D6986E1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EE2">
              <w:rPr>
                <w:rFonts w:ascii="Arial" w:hAnsi="Arial" w:cs="Arial"/>
                <w:b/>
                <w:bCs/>
                <w:sz w:val="18"/>
                <w:szCs w:val="18"/>
              </w:rPr>
              <w:t>You pay a fund redemption fee of:</w:t>
            </w:r>
          </w:p>
        </w:tc>
      </w:tr>
      <w:tr w:rsidR="00274EE2" w14:paraId="7A24004B" w14:textId="77777777" w:rsidTr="00274EE2">
        <w:tc>
          <w:tcPr>
            <w:tcW w:w="3261" w:type="dxa"/>
          </w:tcPr>
          <w:p w14:paraId="144482E3" w14:textId="77777777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35E0D37" w14:textId="7071341D" w:rsidR="00274EE2" w:rsidRPr="00274EE2" w:rsidRDefault="00274EE2" w:rsidP="00274EE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4EE2">
              <w:rPr>
                <w:rFonts w:ascii="Arial" w:hAnsi="Arial" w:cs="Arial"/>
                <w:b/>
                <w:bCs/>
                <w:sz w:val="18"/>
                <w:szCs w:val="18"/>
              </w:rPr>
              <w:t>Percentage</w:t>
            </w:r>
          </w:p>
        </w:tc>
        <w:tc>
          <w:tcPr>
            <w:tcW w:w="3686" w:type="dxa"/>
          </w:tcPr>
          <w:p w14:paraId="6A2DCD25" w14:textId="37DF3ACD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EE2">
              <w:rPr>
                <w:rFonts w:ascii="Arial" w:hAnsi="Arial" w:cs="Arial"/>
                <w:b/>
                <w:bCs/>
                <w:sz w:val="18"/>
                <w:szCs w:val="18"/>
              </w:rPr>
              <w:t>For every $1000 you redeem, you pay:</w:t>
            </w:r>
          </w:p>
        </w:tc>
      </w:tr>
      <w:tr w:rsidR="00274EE2" w14:paraId="3449B101" w14:textId="77777777" w:rsidTr="00274EE2">
        <w:tc>
          <w:tcPr>
            <w:tcW w:w="3261" w:type="dxa"/>
          </w:tcPr>
          <w:p w14:paraId="522C471D" w14:textId="769BC4C1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EE2">
              <w:rPr>
                <w:rFonts w:ascii="Arial" w:hAnsi="Arial" w:cs="Arial"/>
                <w:sz w:val="18"/>
                <w:szCs w:val="18"/>
              </w:rPr>
              <w:t xml:space="preserve">Within 1st year after </w:t>
            </w:r>
            <w:r>
              <w:rPr>
                <w:rFonts w:ascii="Arial" w:hAnsi="Arial" w:cs="Arial"/>
                <w:sz w:val="18"/>
                <w:szCs w:val="18"/>
              </w:rPr>
              <w:t xml:space="preserve">fund </w:t>
            </w:r>
            <w:r w:rsidRPr="00274EE2">
              <w:rPr>
                <w:rFonts w:ascii="Arial" w:hAnsi="Arial" w:cs="Arial"/>
                <w:sz w:val="18"/>
                <w:szCs w:val="18"/>
              </w:rPr>
              <w:t>purchase</w:t>
            </w:r>
          </w:p>
        </w:tc>
        <w:tc>
          <w:tcPr>
            <w:tcW w:w="3118" w:type="dxa"/>
          </w:tcPr>
          <w:p w14:paraId="07B105C5" w14:textId="5868E45D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EE2">
              <w:rPr>
                <w:rFonts w:ascii="Arial" w:hAnsi="Arial" w:cs="Arial"/>
                <w:sz w:val="18"/>
                <w:szCs w:val="18"/>
              </w:rPr>
              <w:t>3.0% of the amount you redeem</w:t>
            </w:r>
          </w:p>
        </w:tc>
        <w:tc>
          <w:tcPr>
            <w:tcW w:w="3686" w:type="dxa"/>
          </w:tcPr>
          <w:p w14:paraId="2D370F10" w14:textId="6CD74793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EE2">
              <w:rPr>
                <w:rFonts w:ascii="Arial" w:hAnsi="Arial" w:cs="Arial"/>
                <w:sz w:val="18"/>
                <w:szCs w:val="18"/>
              </w:rPr>
              <w:t>$30</w:t>
            </w:r>
          </w:p>
        </w:tc>
      </w:tr>
      <w:tr w:rsidR="00274EE2" w14:paraId="35EDD7EC" w14:textId="77777777" w:rsidTr="00274EE2">
        <w:tc>
          <w:tcPr>
            <w:tcW w:w="3261" w:type="dxa"/>
          </w:tcPr>
          <w:p w14:paraId="0A184530" w14:textId="634561BA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EE2">
              <w:rPr>
                <w:rFonts w:ascii="Arial" w:hAnsi="Arial" w:cs="Arial"/>
                <w:sz w:val="18"/>
                <w:szCs w:val="18"/>
              </w:rPr>
              <w:t>During the 2nd year after purchase</w:t>
            </w:r>
          </w:p>
        </w:tc>
        <w:tc>
          <w:tcPr>
            <w:tcW w:w="3118" w:type="dxa"/>
          </w:tcPr>
          <w:p w14:paraId="60230366" w14:textId="77C3126E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EE2">
              <w:rPr>
                <w:rFonts w:ascii="Arial" w:hAnsi="Arial" w:cs="Arial"/>
                <w:sz w:val="18"/>
                <w:szCs w:val="18"/>
              </w:rPr>
              <w:t>2.5% of the amount you redeem</w:t>
            </w:r>
          </w:p>
        </w:tc>
        <w:tc>
          <w:tcPr>
            <w:tcW w:w="3686" w:type="dxa"/>
          </w:tcPr>
          <w:p w14:paraId="3A464C67" w14:textId="12A14BE2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EE2">
              <w:rPr>
                <w:rFonts w:ascii="Arial" w:hAnsi="Arial" w:cs="Arial"/>
                <w:sz w:val="18"/>
                <w:szCs w:val="18"/>
              </w:rPr>
              <w:t>$25</w:t>
            </w:r>
          </w:p>
        </w:tc>
      </w:tr>
      <w:tr w:rsidR="00274EE2" w14:paraId="3C345370" w14:textId="77777777" w:rsidTr="00274EE2">
        <w:tc>
          <w:tcPr>
            <w:tcW w:w="3261" w:type="dxa"/>
          </w:tcPr>
          <w:p w14:paraId="00813DAC" w14:textId="4E093D6C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EE2">
              <w:rPr>
                <w:rFonts w:ascii="Arial" w:hAnsi="Arial" w:cs="Arial"/>
                <w:sz w:val="18"/>
                <w:szCs w:val="18"/>
              </w:rPr>
              <w:t>During the 3rd year after purchase</w:t>
            </w:r>
          </w:p>
        </w:tc>
        <w:tc>
          <w:tcPr>
            <w:tcW w:w="3118" w:type="dxa"/>
          </w:tcPr>
          <w:p w14:paraId="7927A727" w14:textId="53863F7C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EE2">
              <w:rPr>
                <w:rFonts w:ascii="Arial" w:hAnsi="Arial" w:cs="Arial"/>
                <w:sz w:val="18"/>
                <w:szCs w:val="18"/>
              </w:rPr>
              <w:t>2.0% of the amount you redeem</w:t>
            </w:r>
          </w:p>
        </w:tc>
        <w:tc>
          <w:tcPr>
            <w:tcW w:w="3686" w:type="dxa"/>
          </w:tcPr>
          <w:p w14:paraId="014481CD" w14:textId="3674C3EA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EE2">
              <w:rPr>
                <w:rFonts w:ascii="Arial" w:hAnsi="Arial" w:cs="Arial"/>
                <w:sz w:val="18"/>
                <w:szCs w:val="18"/>
              </w:rPr>
              <w:t>$20</w:t>
            </w:r>
          </w:p>
        </w:tc>
      </w:tr>
      <w:tr w:rsidR="00274EE2" w14:paraId="3848B304" w14:textId="77777777" w:rsidTr="00274EE2">
        <w:tc>
          <w:tcPr>
            <w:tcW w:w="3261" w:type="dxa"/>
          </w:tcPr>
          <w:p w14:paraId="3E71D1D8" w14:textId="076288C7" w:rsidR="00274EE2" w:rsidRPr="00274EE2" w:rsidRDefault="006C216F" w:rsidP="006C2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274EE2" w:rsidRPr="00274EE2">
              <w:rPr>
                <w:rFonts w:ascii="Arial" w:hAnsi="Arial" w:cs="Arial"/>
                <w:sz w:val="18"/>
                <w:szCs w:val="18"/>
              </w:rPr>
              <w:t>After 3rd year</w:t>
            </w:r>
          </w:p>
        </w:tc>
        <w:tc>
          <w:tcPr>
            <w:tcW w:w="3118" w:type="dxa"/>
          </w:tcPr>
          <w:p w14:paraId="2F8C2ED3" w14:textId="1E23506E" w:rsidR="00274EE2" w:rsidRPr="00274EE2" w:rsidRDefault="006C216F" w:rsidP="006C2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274EE2" w:rsidRPr="00274EE2">
              <w:rPr>
                <w:rFonts w:ascii="Arial" w:hAnsi="Arial" w:cs="Arial"/>
                <w:sz w:val="18"/>
                <w:szCs w:val="18"/>
              </w:rPr>
              <w:t>No fee</w:t>
            </w:r>
          </w:p>
        </w:tc>
        <w:tc>
          <w:tcPr>
            <w:tcW w:w="3686" w:type="dxa"/>
          </w:tcPr>
          <w:p w14:paraId="2FED28F3" w14:textId="41A6128A" w:rsidR="00274EE2" w:rsidRPr="00274EE2" w:rsidRDefault="00274EE2" w:rsidP="00274E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4EE2">
              <w:rPr>
                <w:rFonts w:ascii="Arial" w:hAnsi="Arial" w:cs="Arial"/>
                <w:sz w:val="18"/>
                <w:szCs w:val="18"/>
              </w:rPr>
              <w:t>$0</w:t>
            </w:r>
          </w:p>
        </w:tc>
      </w:tr>
    </w:tbl>
    <w:p w14:paraId="508CEE2A" w14:textId="47C49C8F" w:rsidR="00047EAE" w:rsidRPr="0024655C" w:rsidRDefault="00047EAE" w:rsidP="0024655C">
      <w:pPr>
        <w:spacing w:after="0"/>
        <w:rPr>
          <w:rFonts w:ascii="Arial" w:hAnsi="Arial" w:cs="Arial"/>
          <w:sz w:val="18"/>
          <w:szCs w:val="18"/>
        </w:rPr>
      </w:pPr>
    </w:p>
    <w:p w14:paraId="5CB70000" w14:textId="1A2085F8" w:rsidR="00047EAE" w:rsidRPr="0024655C" w:rsidRDefault="00047EAE" w:rsidP="0024655C">
      <w:pPr>
        <w:spacing w:after="0"/>
        <w:rPr>
          <w:rFonts w:ascii="Arial" w:hAnsi="Arial" w:cs="Arial"/>
          <w:sz w:val="18"/>
          <w:szCs w:val="18"/>
        </w:rPr>
      </w:pPr>
      <w:r w:rsidRPr="0024655C">
        <w:rPr>
          <w:rFonts w:ascii="Arial" w:hAnsi="Arial" w:cs="Arial"/>
          <w:b/>
          <w:bCs/>
          <w:sz w:val="18"/>
          <w:szCs w:val="18"/>
        </w:rPr>
        <w:t xml:space="preserve">No load (NL) – </w:t>
      </w:r>
      <w:r w:rsidRPr="0024655C">
        <w:rPr>
          <w:rFonts w:ascii="Arial" w:hAnsi="Arial" w:cs="Arial"/>
          <w:sz w:val="18"/>
          <w:szCs w:val="18"/>
        </w:rPr>
        <w:t>No initial fee when you invest and they do not charge a redemption fee for withdrawals. Typically, this type of fund structure is sold within financial institutions where the advisor is paid a salary, or where the client is charged an annual fee for service by the advisor.</w:t>
      </w:r>
    </w:p>
    <w:p w14:paraId="305E8EDF" w14:textId="77777777" w:rsidR="00047EAE" w:rsidRPr="00E909FC" w:rsidRDefault="00047EAE" w:rsidP="0024655C">
      <w:pPr>
        <w:pStyle w:val="Default"/>
        <w:rPr>
          <w:sz w:val="12"/>
          <w:szCs w:val="12"/>
        </w:rPr>
      </w:pPr>
    </w:p>
    <w:p w14:paraId="369BD35C" w14:textId="4117916C" w:rsidR="00047EAE" w:rsidRPr="0024655C" w:rsidRDefault="00047EAE" w:rsidP="00F7212A">
      <w:pPr>
        <w:pStyle w:val="Default"/>
        <w:spacing w:after="60"/>
        <w:rPr>
          <w:sz w:val="18"/>
          <w:szCs w:val="18"/>
        </w:rPr>
      </w:pPr>
      <w:r w:rsidRPr="0024655C">
        <w:rPr>
          <w:b/>
          <w:bCs/>
          <w:sz w:val="18"/>
          <w:szCs w:val="18"/>
        </w:rPr>
        <w:t xml:space="preserve">Other Considerations: </w:t>
      </w:r>
    </w:p>
    <w:p w14:paraId="13083BCE" w14:textId="0A78D2A0" w:rsidR="00047EAE" w:rsidRPr="0024655C" w:rsidRDefault="001B1DFD" w:rsidP="001B1DFD">
      <w:pPr>
        <w:pStyle w:val="Default"/>
        <w:ind w:left="426" w:hanging="284"/>
        <w:rPr>
          <w:sz w:val="18"/>
          <w:szCs w:val="18"/>
        </w:rPr>
      </w:pPr>
      <w:r>
        <w:rPr>
          <w:rFonts w:ascii="Wingdings 3" w:hAnsi="Wingdings 3"/>
          <w:sz w:val="18"/>
          <w:szCs w:val="18"/>
        </w:rPr>
        <w:t>a</w:t>
      </w:r>
      <w:r w:rsidR="00F37825">
        <w:rPr>
          <w:sz w:val="18"/>
          <w:szCs w:val="18"/>
        </w:rPr>
        <w:t xml:space="preserve"> </w:t>
      </w:r>
      <w:r w:rsidR="00047EAE" w:rsidRPr="0024655C">
        <w:rPr>
          <w:sz w:val="18"/>
          <w:szCs w:val="18"/>
        </w:rPr>
        <w:t xml:space="preserve">For estate purposes, the DSC/LSC redemption schedule is eliminated in the event of the plan holder’s death. </w:t>
      </w:r>
    </w:p>
    <w:p w14:paraId="2D629CFE" w14:textId="77777777" w:rsidR="001B1DFD" w:rsidRDefault="001B1DFD" w:rsidP="001B1DFD">
      <w:pPr>
        <w:pStyle w:val="Default"/>
        <w:ind w:left="426" w:hanging="284"/>
        <w:rPr>
          <w:sz w:val="18"/>
          <w:szCs w:val="18"/>
        </w:rPr>
      </w:pPr>
      <w:r>
        <w:rPr>
          <w:rFonts w:ascii="Wingdings 3" w:hAnsi="Wingdings 3"/>
          <w:sz w:val="18"/>
          <w:szCs w:val="18"/>
        </w:rPr>
        <w:t>a</w:t>
      </w:r>
      <w:r w:rsidR="00047EAE" w:rsidRPr="0024655C">
        <w:rPr>
          <w:sz w:val="18"/>
          <w:szCs w:val="18"/>
        </w:rPr>
        <w:t xml:space="preserve"> Most segregated fund companies offer 10% free withdrawals where you are not charged a redemption fee for withdrawing up to </w:t>
      </w:r>
    </w:p>
    <w:p w14:paraId="3DEAF6F9" w14:textId="5ADE74FC" w:rsidR="00047EAE" w:rsidRPr="0024655C" w:rsidRDefault="001B1DFD" w:rsidP="001B1DFD">
      <w:pPr>
        <w:pStyle w:val="Default"/>
        <w:ind w:left="426" w:hanging="284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047EAE" w:rsidRPr="0024655C">
        <w:rPr>
          <w:sz w:val="18"/>
          <w:szCs w:val="18"/>
        </w:rPr>
        <w:t>10%</w:t>
      </w:r>
      <w:r>
        <w:rPr>
          <w:sz w:val="18"/>
          <w:szCs w:val="18"/>
        </w:rPr>
        <w:t xml:space="preserve"> </w:t>
      </w:r>
      <w:r w:rsidR="00047EAE" w:rsidRPr="0024655C">
        <w:rPr>
          <w:sz w:val="18"/>
          <w:szCs w:val="18"/>
        </w:rPr>
        <w:t xml:space="preserve">of your fund value per year. </w:t>
      </w:r>
    </w:p>
    <w:p w14:paraId="6170AC28" w14:textId="77777777" w:rsidR="001B1DFD" w:rsidRDefault="001B1DFD" w:rsidP="001B1DFD">
      <w:pPr>
        <w:pStyle w:val="Default"/>
        <w:ind w:left="426" w:hanging="284"/>
        <w:rPr>
          <w:sz w:val="18"/>
          <w:szCs w:val="18"/>
        </w:rPr>
      </w:pPr>
      <w:r>
        <w:rPr>
          <w:rFonts w:ascii="Wingdings 3" w:hAnsi="Wingdings 3"/>
          <w:sz w:val="18"/>
          <w:szCs w:val="18"/>
        </w:rPr>
        <w:t>a</w:t>
      </w:r>
      <w:r w:rsidR="00047EAE" w:rsidRPr="0024655C">
        <w:rPr>
          <w:sz w:val="18"/>
          <w:szCs w:val="18"/>
        </w:rPr>
        <w:t xml:space="preserve"> Separate and apart from initial sales charges of DSC, LSC and NL; segregated funds charge an annual fee referred to as a</w:t>
      </w:r>
      <w:r>
        <w:rPr>
          <w:sz w:val="18"/>
          <w:szCs w:val="18"/>
        </w:rPr>
        <w:t xml:space="preserve"> </w:t>
      </w:r>
    </w:p>
    <w:p w14:paraId="560A7709" w14:textId="2976186F" w:rsidR="001B1DFD" w:rsidRDefault="001B1DFD" w:rsidP="001B1DFD">
      <w:pPr>
        <w:pStyle w:val="Default"/>
        <w:ind w:left="426" w:hanging="284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047EAE" w:rsidRPr="0024655C">
        <w:rPr>
          <w:sz w:val="18"/>
          <w:szCs w:val="18"/>
        </w:rPr>
        <w:t>Management Expense Ratio (MER) consisting of three components - administration, distribution and insurance costs. The advisor</w:t>
      </w:r>
    </w:p>
    <w:p w14:paraId="4BA8CA85" w14:textId="77777777" w:rsidR="001B1DFD" w:rsidRDefault="001B1DFD" w:rsidP="001B1DFD">
      <w:pPr>
        <w:pStyle w:val="Default"/>
        <w:ind w:left="426" w:hanging="284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047EAE" w:rsidRPr="0024655C">
        <w:rPr>
          <w:sz w:val="18"/>
          <w:szCs w:val="18"/>
        </w:rPr>
        <w:t>is paid an ongoing fee out of the distribution cost. The MER charged for each fund can be found in the Information Folder and Fund</w:t>
      </w:r>
    </w:p>
    <w:p w14:paraId="3D3FD187" w14:textId="239ED655" w:rsidR="00276955" w:rsidRDefault="001B1DFD" w:rsidP="001B1DFD">
      <w:pPr>
        <w:pStyle w:val="Default"/>
        <w:ind w:left="426" w:hanging="284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047EAE" w:rsidRPr="0024655C">
        <w:rPr>
          <w:sz w:val="18"/>
          <w:szCs w:val="18"/>
        </w:rPr>
        <w:t xml:space="preserve">Facts given to you by your advisor when you purchase the fund. </w:t>
      </w:r>
    </w:p>
    <w:p w14:paraId="022011F3" w14:textId="0CD23455" w:rsidR="00276955" w:rsidRPr="00E909FC" w:rsidRDefault="00276955" w:rsidP="0024655C">
      <w:pPr>
        <w:spacing w:after="0"/>
        <w:rPr>
          <w:rFonts w:ascii="Arial" w:hAnsi="Arial" w:cs="Arial"/>
          <w:sz w:val="12"/>
          <w:szCs w:val="12"/>
        </w:rPr>
      </w:pPr>
    </w:p>
    <w:p w14:paraId="1EF637C4" w14:textId="5F8E5AF8" w:rsidR="006035FF" w:rsidRDefault="006035FF" w:rsidP="00F7212A">
      <w:pPr>
        <w:pStyle w:val="Default"/>
        <w:spacing w:after="6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Acknowledgement:</w:t>
      </w:r>
    </w:p>
    <w:p w14:paraId="79D9D2CB" w14:textId="2B4BB9B0" w:rsidR="006035FF" w:rsidRDefault="006035FF" w:rsidP="006035FF">
      <w:pPr>
        <w:pStyle w:val="Default"/>
        <w:numPr>
          <w:ilvl w:val="0"/>
          <w:numId w:val="1"/>
        </w:numPr>
        <w:ind w:left="426" w:hanging="284"/>
        <w:rPr>
          <w:sz w:val="18"/>
          <w:szCs w:val="18"/>
        </w:rPr>
      </w:pPr>
      <w:r w:rsidRPr="006035FF">
        <w:rPr>
          <w:sz w:val="18"/>
          <w:szCs w:val="18"/>
        </w:rPr>
        <w:t>After</w:t>
      </w:r>
      <w:r>
        <w:rPr>
          <w:sz w:val="18"/>
          <w:szCs w:val="18"/>
        </w:rPr>
        <w:t xml:space="preserve"> explaining the different fee options by my advisor, </w:t>
      </w:r>
      <w:r w:rsidRPr="0024655C">
        <w:rPr>
          <w:sz w:val="18"/>
          <w:szCs w:val="18"/>
        </w:rPr>
        <w:t xml:space="preserve">I have chosen the following </w:t>
      </w:r>
      <w:r>
        <w:rPr>
          <w:sz w:val="18"/>
          <w:szCs w:val="18"/>
        </w:rPr>
        <w:t>fee option</w:t>
      </w:r>
      <w:r w:rsidRPr="0024655C">
        <w:rPr>
          <w:sz w:val="18"/>
          <w:szCs w:val="18"/>
        </w:rPr>
        <w:t xml:space="preserve"> in making this new investment</w:t>
      </w:r>
      <w:r>
        <w:rPr>
          <w:sz w:val="18"/>
          <w:szCs w:val="18"/>
        </w:rPr>
        <w:t>:</w:t>
      </w:r>
    </w:p>
    <w:p w14:paraId="253C882D" w14:textId="2EEBD45B" w:rsidR="006035FF" w:rsidRDefault="006035FF" w:rsidP="006035FF">
      <w:pPr>
        <w:pStyle w:val="Default"/>
        <w:ind w:left="426"/>
        <w:rPr>
          <w:sz w:val="18"/>
          <w:szCs w:val="18"/>
        </w:rPr>
      </w:pPr>
      <w:r w:rsidRPr="0024655C">
        <w:rPr>
          <w:sz w:val="18"/>
          <w:szCs w:val="18"/>
        </w:rPr>
        <w:t xml:space="preserve">(please </w:t>
      </w:r>
      <w:r>
        <w:rPr>
          <w:sz w:val="18"/>
          <w:szCs w:val="18"/>
        </w:rPr>
        <w:t>tick</w:t>
      </w:r>
      <w:r w:rsidRPr="0024655C">
        <w:rPr>
          <w:sz w:val="18"/>
          <w:szCs w:val="18"/>
        </w:rPr>
        <w:t xml:space="preserve"> one)</w:t>
      </w:r>
      <w:r>
        <w:rPr>
          <w:sz w:val="18"/>
          <w:szCs w:val="18"/>
        </w:rPr>
        <w:t xml:space="preserve"> </w:t>
      </w:r>
      <w:r w:rsidRPr="006035FF">
        <w:rPr>
          <w:rFonts w:ascii="Webdings" w:hAnsi="Webdings"/>
          <w:sz w:val="18"/>
          <w:szCs w:val="18"/>
        </w:rPr>
        <w:t></w:t>
      </w:r>
      <w:r w:rsidRPr="006035FF">
        <w:rPr>
          <w:sz w:val="18"/>
          <w:szCs w:val="18"/>
        </w:rPr>
        <w:t xml:space="preserve"> LSC     </w:t>
      </w:r>
      <w:r w:rsidRPr="006035FF">
        <w:rPr>
          <w:rFonts w:ascii="Webdings" w:hAnsi="Webdings"/>
          <w:sz w:val="18"/>
          <w:szCs w:val="18"/>
        </w:rPr>
        <w:t></w:t>
      </w:r>
      <w:r w:rsidRPr="006035FF">
        <w:rPr>
          <w:sz w:val="18"/>
          <w:szCs w:val="18"/>
        </w:rPr>
        <w:t xml:space="preserve"> DSC</w:t>
      </w:r>
    </w:p>
    <w:p w14:paraId="283E6D91" w14:textId="7B29EA9B" w:rsidR="00204CF6" w:rsidRPr="00204CF6" w:rsidRDefault="00204CF6" w:rsidP="006035FF">
      <w:pPr>
        <w:pStyle w:val="Default"/>
        <w:ind w:left="426"/>
        <w:rPr>
          <w:sz w:val="12"/>
          <w:szCs w:val="12"/>
        </w:rPr>
      </w:pPr>
    </w:p>
    <w:p w14:paraId="46189AE9" w14:textId="037E6334" w:rsidR="006035FF" w:rsidRDefault="006035FF" w:rsidP="006035FF">
      <w:pPr>
        <w:pStyle w:val="Default"/>
        <w:numPr>
          <w:ilvl w:val="0"/>
          <w:numId w:val="1"/>
        </w:numPr>
        <w:ind w:left="426" w:hanging="284"/>
        <w:rPr>
          <w:sz w:val="18"/>
          <w:szCs w:val="18"/>
        </w:rPr>
      </w:pPr>
      <w:r>
        <w:rPr>
          <w:sz w:val="18"/>
          <w:szCs w:val="18"/>
        </w:rPr>
        <w:t>I / we have read and understand the above disclosure.</w:t>
      </w:r>
    </w:p>
    <w:p w14:paraId="623B901B" w14:textId="2E697687" w:rsidR="006035FF" w:rsidRPr="006035FF" w:rsidRDefault="006035FF" w:rsidP="006035FF">
      <w:pPr>
        <w:pStyle w:val="Default"/>
        <w:rPr>
          <w:sz w:val="18"/>
          <w:szCs w:val="18"/>
        </w:rPr>
      </w:pPr>
    </w:p>
    <w:p w14:paraId="37EF164C" w14:textId="428D866C" w:rsidR="006035FF" w:rsidRDefault="006035FF" w:rsidP="006035FF">
      <w:pPr>
        <w:pStyle w:val="Default"/>
        <w:rPr>
          <w:sz w:val="18"/>
          <w:szCs w:val="18"/>
        </w:rPr>
      </w:pPr>
    </w:p>
    <w:p w14:paraId="3E34AA48" w14:textId="4FF944B0" w:rsidR="00276955" w:rsidRPr="0024655C" w:rsidRDefault="00276955" w:rsidP="0024655C">
      <w:pPr>
        <w:spacing w:after="0"/>
        <w:rPr>
          <w:rFonts w:ascii="Arial" w:hAnsi="Arial" w:cs="Arial"/>
          <w:sz w:val="18"/>
          <w:szCs w:val="18"/>
        </w:rPr>
      </w:pPr>
    </w:p>
    <w:p w14:paraId="76FA4F90" w14:textId="5384E83C" w:rsidR="00047EAE" w:rsidRDefault="00E909FC" w:rsidP="0024655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Owner</w:t>
      </w:r>
      <w:r w:rsidR="0024655C" w:rsidRPr="0024655C">
        <w:rPr>
          <w:rFonts w:ascii="Arial" w:hAnsi="Arial" w:cs="Arial"/>
          <w:sz w:val="18"/>
          <w:szCs w:val="18"/>
        </w:rPr>
        <w:t xml:space="preserve"> Name __________________</w:t>
      </w:r>
      <w:r>
        <w:rPr>
          <w:rFonts w:ascii="Arial" w:hAnsi="Arial" w:cs="Arial"/>
          <w:sz w:val="18"/>
          <w:szCs w:val="18"/>
        </w:rPr>
        <w:t>___</w:t>
      </w:r>
      <w:r w:rsidR="0024655C" w:rsidRPr="0024655C">
        <w:rPr>
          <w:rFonts w:ascii="Arial" w:hAnsi="Arial" w:cs="Arial"/>
          <w:sz w:val="18"/>
          <w:szCs w:val="18"/>
        </w:rPr>
        <w:t xml:space="preserve">_______  </w:t>
      </w:r>
      <w:r>
        <w:rPr>
          <w:rFonts w:ascii="Arial" w:hAnsi="Arial" w:cs="Arial"/>
          <w:sz w:val="18"/>
          <w:szCs w:val="18"/>
        </w:rPr>
        <w:t xml:space="preserve"> Owner</w:t>
      </w:r>
      <w:r w:rsidR="0024655C" w:rsidRPr="0024655C">
        <w:rPr>
          <w:rFonts w:ascii="Arial" w:hAnsi="Arial" w:cs="Arial"/>
          <w:sz w:val="18"/>
          <w:szCs w:val="18"/>
        </w:rPr>
        <w:t xml:space="preserve"> Signature </w:t>
      </w:r>
      <w:r w:rsidRPr="0024655C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>___</w:t>
      </w:r>
      <w:r w:rsidRPr="0024655C">
        <w:rPr>
          <w:rFonts w:ascii="Arial" w:hAnsi="Arial" w:cs="Arial"/>
          <w:sz w:val="18"/>
          <w:szCs w:val="18"/>
        </w:rPr>
        <w:t>___________</w:t>
      </w:r>
    </w:p>
    <w:p w14:paraId="0FB964D6" w14:textId="3E237016" w:rsidR="00F37825" w:rsidRDefault="00F37825" w:rsidP="0024655C">
      <w:pPr>
        <w:spacing w:after="0"/>
        <w:rPr>
          <w:rFonts w:ascii="Arial" w:hAnsi="Arial" w:cs="Arial"/>
          <w:sz w:val="18"/>
          <w:szCs w:val="18"/>
        </w:rPr>
      </w:pPr>
    </w:p>
    <w:p w14:paraId="71569DE5" w14:textId="70C97ACF" w:rsidR="00F37825" w:rsidRDefault="00F37825" w:rsidP="0024655C">
      <w:pPr>
        <w:spacing w:after="0"/>
        <w:rPr>
          <w:rFonts w:ascii="Arial" w:hAnsi="Arial" w:cs="Arial"/>
          <w:sz w:val="18"/>
          <w:szCs w:val="18"/>
        </w:rPr>
      </w:pPr>
    </w:p>
    <w:p w14:paraId="0DD004AF" w14:textId="20879EB1" w:rsidR="00E909FC" w:rsidRDefault="00E909FC" w:rsidP="0024655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Joint Owner</w:t>
      </w:r>
      <w:r w:rsidR="00F37825" w:rsidRPr="0024655C">
        <w:rPr>
          <w:rFonts w:ascii="Arial" w:hAnsi="Arial" w:cs="Arial"/>
          <w:sz w:val="18"/>
          <w:szCs w:val="18"/>
        </w:rPr>
        <w:t xml:space="preserve"> Name _____________</w:t>
      </w:r>
      <w:r>
        <w:rPr>
          <w:rFonts w:ascii="Arial" w:hAnsi="Arial" w:cs="Arial"/>
          <w:sz w:val="18"/>
          <w:szCs w:val="18"/>
        </w:rPr>
        <w:t>___</w:t>
      </w:r>
      <w:r w:rsidR="00F37825" w:rsidRPr="0024655C">
        <w:rPr>
          <w:rFonts w:ascii="Arial" w:hAnsi="Arial" w:cs="Arial"/>
          <w:sz w:val="18"/>
          <w:szCs w:val="18"/>
        </w:rPr>
        <w:t>_______</w:t>
      </w:r>
      <w:proofErr w:type="gramStart"/>
      <w:r w:rsidR="00F37825" w:rsidRPr="0024655C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  Joint</w:t>
      </w:r>
      <w:proofErr w:type="gramEnd"/>
      <w:r>
        <w:rPr>
          <w:rFonts w:ascii="Arial" w:hAnsi="Arial" w:cs="Arial"/>
          <w:sz w:val="18"/>
          <w:szCs w:val="18"/>
        </w:rPr>
        <w:t xml:space="preserve"> Owner</w:t>
      </w:r>
      <w:r w:rsidR="00F37825" w:rsidRPr="0024655C">
        <w:rPr>
          <w:rFonts w:ascii="Arial" w:hAnsi="Arial" w:cs="Arial"/>
          <w:sz w:val="18"/>
          <w:szCs w:val="18"/>
        </w:rPr>
        <w:t xml:space="preserve"> Signature </w:t>
      </w:r>
      <w:r w:rsidRPr="0024655C">
        <w:rPr>
          <w:rFonts w:ascii="Arial" w:hAnsi="Arial" w:cs="Arial"/>
          <w:sz w:val="18"/>
          <w:szCs w:val="18"/>
        </w:rPr>
        <w:t>_____________</w:t>
      </w:r>
      <w:r>
        <w:rPr>
          <w:rFonts w:ascii="Arial" w:hAnsi="Arial" w:cs="Arial"/>
          <w:sz w:val="18"/>
          <w:szCs w:val="18"/>
        </w:rPr>
        <w:t>___</w:t>
      </w:r>
      <w:r w:rsidRPr="0024655C">
        <w:rPr>
          <w:rFonts w:ascii="Arial" w:hAnsi="Arial" w:cs="Arial"/>
          <w:sz w:val="18"/>
          <w:szCs w:val="18"/>
        </w:rPr>
        <w:t>________</w:t>
      </w:r>
      <w:r w:rsidR="00F37825" w:rsidRPr="0024655C">
        <w:rPr>
          <w:rFonts w:ascii="Arial" w:hAnsi="Arial" w:cs="Arial"/>
          <w:sz w:val="18"/>
          <w:szCs w:val="18"/>
        </w:rPr>
        <w:t xml:space="preserve">  </w:t>
      </w:r>
    </w:p>
    <w:p w14:paraId="249FB8CE" w14:textId="40243661" w:rsidR="00E909FC" w:rsidRDefault="00E909FC" w:rsidP="0024655C">
      <w:pPr>
        <w:spacing w:after="0"/>
        <w:rPr>
          <w:rFonts w:ascii="Arial" w:hAnsi="Arial" w:cs="Arial"/>
          <w:sz w:val="18"/>
          <w:szCs w:val="18"/>
        </w:rPr>
      </w:pPr>
    </w:p>
    <w:p w14:paraId="06CA0A5A" w14:textId="08D80735" w:rsidR="00E909FC" w:rsidRDefault="00E909FC" w:rsidP="0024655C">
      <w:pPr>
        <w:spacing w:after="0"/>
        <w:rPr>
          <w:rFonts w:ascii="Arial" w:hAnsi="Arial" w:cs="Arial"/>
          <w:sz w:val="18"/>
          <w:szCs w:val="18"/>
        </w:rPr>
      </w:pPr>
    </w:p>
    <w:p w14:paraId="68625973" w14:textId="22BF4C41" w:rsidR="00E909FC" w:rsidRDefault="00E909FC" w:rsidP="0024655C">
      <w:pPr>
        <w:spacing w:after="0"/>
        <w:rPr>
          <w:rFonts w:ascii="Arial" w:hAnsi="Arial" w:cs="Arial"/>
          <w:sz w:val="18"/>
          <w:szCs w:val="18"/>
        </w:rPr>
      </w:pPr>
    </w:p>
    <w:p w14:paraId="5D35F3F4" w14:textId="231274CB" w:rsidR="00E909FC" w:rsidRDefault="00E909FC" w:rsidP="0024655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Advisor Name ___________________________   Advisor Signature ___________________________         </w:t>
      </w:r>
      <w:r w:rsidR="00F37825" w:rsidRPr="0024655C">
        <w:rPr>
          <w:rFonts w:ascii="Arial" w:hAnsi="Arial" w:cs="Arial"/>
          <w:sz w:val="18"/>
          <w:szCs w:val="18"/>
        </w:rPr>
        <w:t>Date _________</w:t>
      </w:r>
      <w:r>
        <w:rPr>
          <w:rFonts w:ascii="Arial" w:hAnsi="Arial" w:cs="Arial"/>
          <w:sz w:val="18"/>
          <w:szCs w:val="18"/>
        </w:rPr>
        <w:t>__</w:t>
      </w:r>
      <w:r w:rsidR="00F37825">
        <w:rPr>
          <w:rFonts w:ascii="Arial" w:hAnsi="Arial" w:cs="Arial"/>
          <w:sz w:val="18"/>
          <w:szCs w:val="18"/>
        </w:rPr>
        <w:t>__</w:t>
      </w:r>
      <w:r w:rsidR="00F37825" w:rsidRPr="0024655C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___</w:t>
      </w:r>
      <w:r w:rsidR="00F37825" w:rsidRPr="0024655C">
        <w:rPr>
          <w:rFonts w:ascii="Arial" w:hAnsi="Arial" w:cs="Arial"/>
          <w:sz w:val="18"/>
          <w:szCs w:val="18"/>
        </w:rPr>
        <w:t>___</w:t>
      </w:r>
    </w:p>
    <w:p w14:paraId="25CFEA0D" w14:textId="608769D5" w:rsidR="006639A4" w:rsidRDefault="006639A4" w:rsidP="0024655C">
      <w:pPr>
        <w:spacing w:after="0"/>
        <w:rPr>
          <w:rFonts w:ascii="Arial" w:hAnsi="Arial" w:cs="Arial"/>
          <w:sz w:val="18"/>
          <w:szCs w:val="18"/>
        </w:rPr>
      </w:pPr>
      <w:r w:rsidRPr="002C716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3C3D17" wp14:editId="4535EE04">
                <wp:simplePos x="0" y="0"/>
                <wp:positionH relativeFrom="column">
                  <wp:posOffset>6401435</wp:posOffset>
                </wp:positionH>
                <wp:positionV relativeFrom="paragraph">
                  <wp:posOffset>138636</wp:posOffset>
                </wp:positionV>
                <wp:extent cx="649605" cy="2692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D6B11" w14:textId="609E9D71" w:rsidR="002C7162" w:rsidRPr="006639A4" w:rsidRDefault="006639A4" w:rsidP="006639A4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6639A4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713E5B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 w:rsidRPr="006639A4"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  <w:r w:rsidR="00231BF8">
                              <w:rPr>
                                <w:sz w:val="18"/>
                                <w:szCs w:val="18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C3D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4.05pt;margin-top:10.9pt;width:51.15pt;height:2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" stroked="f">
                <v:textbox>
                  <w:txbxContent>
                    <w:p w14:paraId="7AFD6B11" w14:textId="609E9D71" w:rsidR="002C7162" w:rsidRPr="006639A4" w:rsidRDefault="006639A4" w:rsidP="006639A4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6639A4">
                        <w:rPr>
                          <w:sz w:val="18"/>
                          <w:szCs w:val="18"/>
                        </w:rPr>
                        <w:t>2</w:t>
                      </w:r>
                      <w:r w:rsidR="00713E5B">
                        <w:rPr>
                          <w:sz w:val="18"/>
                          <w:szCs w:val="18"/>
                        </w:rPr>
                        <w:t>1</w:t>
                      </w:r>
                      <w:r w:rsidRPr="006639A4">
                        <w:rPr>
                          <w:sz w:val="18"/>
                          <w:szCs w:val="18"/>
                        </w:rPr>
                        <w:t>03</w:t>
                      </w:r>
                      <w:r w:rsidR="00231BF8">
                        <w:rPr>
                          <w:sz w:val="18"/>
                          <w:szCs w:val="18"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8F0A35" w14:textId="66EB00B7" w:rsidR="006639A4" w:rsidRPr="0024655C" w:rsidRDefault="006639A4" w:rsidP="0024655C">
      <w:pPr>
        <w:spacing w:after="0"/>
        <w:rPr>
          <w:rFonts w:ascii="Arial" w:hAnsi="Arial" w:cs="Arial"/>
          <w:sz w:val="18"/>
          <w:szCs w:val="18"/>
        </w:rPr>
      </w:pPr>
    </w:p>
    <w:sectPr w:rsidR="006639A4" w:rsidRPr="0024655C" w:rsidSect="006639A4">
      <w:pgSz w:w="12240" w:h="15840"/>
      <w:pgMar w:top="720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9C7CE" w14:textId="77777777" w:rsidR="008F3FBB" w:rsidRDefault="008F3FBB" w:rsidP="008F3FBB">
      <w:pPr>
        <w:spacing w:after="0" w:line="240" w:lineRule="auto"/>
      </w:pPr>
      <w:r>
        <w:separator/>
      </w:r>
    </w:p>
  </w:endnote>
  <w:endnote w:type="continuationSeparator" w:id="0">
    <w:p w14:paraId="395CB460" w14:textId="77777777" w:rsidR="008F3FBB" w:rsidRDefault="008F3FBB" w:rsidP="008F3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EFDCB5" w14:textId="77777777" w:rsidR="008F3FBB" w:rsidRDefault="008F3FBB" w:rsidP="008F3FBB">
      <w:pPr>
        <w:spacing w:after="0" w:line="240" w:lineRule="auto"/>
      </w:pPr>
      <w:r>
        <w:separator/>
      </w:r>
    </w:p>
  </w:footnote>
  <w:footnote w:type="continuationSeparator" w:id="0">
    <w:p w14:paraId="5B2061C3" w14:textId="77777777" w:rsidR="008F3FBB" w:rsidRDefault="008F3FBB" w:rsidP="008F3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A27D2"/>
    <w:multiLevelType w:val="hybridMultilevel"/>
    <w:tmpl w:val="16E240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13D4C"/>
    <w:multiLevelType w:val="hybridMultilevel"/>
    <w:tmpl w:val="16E240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5F"/>
    <w:rsid w:val="00026126"/>
    <w:rsid w:val="00030348"/>
    <w:rsid w:val="000356B7"/>
    <w:rsid w:val="0004074B"/>
    <w:rsid w:val="00040884"/>
    <w:rsid w:val="00042F9C"/>
    <w:rsid w:val="00046DE3"/>
    <w:rsid w:val="00047EAE"/>
    <w:rsid w:val="000525CD"/>
    <w:rsid w:val="0005520C"/>
    <w:rsid w:val="0006035D"/>
    <w:rsid w:val="000777FA"/>
    <w:rsid w:val="0008150B"/>
    <w:rsid w:val="000860DA"/>
    <w:rsid w:val="000A2E7F"/>
    <w:rsid w:val="000A6820"/>
    <w:rsid w:val="000B0A41"/>
    <w:rsid w:val="000B472D"/>
    <w:rsid w:val="000C1C43"/>
    <w:rsid w:val="000D738F"/>
    <w:rsid w:val="000E6845"/>
    <w:rsid w:val="000F65FA"/>
    <w:rsid w:val="000F6EEF"/>
    <w:rsid w:val="00111A0A"/>
    <w:rsid w:val="00121A8C"/>
    <w:rsid w:val="0013601F"/>
    <w:rsid w:val="00142D86"/>
    <w:rsid w:val="00152D2C"/>
    <w:rsid w:val="001901E0"/>
    <w:rsid w:val="00196F8C"/>
    <w:rsid w:val="001A56F5"/>
    <w:rsid w:val="001B0CA0"/>
    <w:rsid w:val="001B1DFD"/>
    <w:rsid w:val="001B2BF9"/>
    <w:rsid w:val="001C5F45"/>
    <w:rsid w:val="001E2DF7"/>
    <w:rsid w:val="001E4445"/>
    <w:rsid w:val="001F7AC2"/>
    <w:rsid w:val="00204CF6"/>
    <w:rsid w:val="002145EC"/>
    <w:rsid w:val="0022477D"/>
    <w:rsid w:val="00227225"/>
    <w:rsid w:val="00231BF8"/>
    <w:rsid w:val="002404EA"/>
    <w:rsid w:val="00246393"/>
    <w:rsid w:val="0024655C"/>
    <w:rsid w:val="00254A49"/>
    <w:rsid w:val="00260234"/>
    <w:rsid w:val="00260B05"/>
    <w:rsid w:val="00264BFE"/>
    <w:rsid w:val="00274EE2"/>
    <w:rsid w:val="00276955"/>
    <w:rsid w:val="002847A7"/>
    <w:rsid w:val="002854EF"/>
    <w:rsid w:val="0028550D"/>
    <w:rsid w:val="002A3773"/>
    <w:rsid w:val="002A37F1"/>
    <w:rsid w:val="002B46B3"/>
    <w:rsid w:val="002C7162"/>
    <w:rsid w:val="002D1D20"/>
    <w:rsid w:val="002D6D82"/>
    <w:rsid w:val="002F1C87"/>
    <w:rsid w:val="002F7D2C"/>
    <w:rsid w:val="00300AB9"/>
    <w:rsid w:val="00301452"/>
    <w:rsid w:val="003077FC"/>
    <w:rsid w:val="00317C15"/>
    <w:rsid w:val="003456C4"/>
    <w:rsid w:val="0035142B"/>
    <w:rsid w:val="00365A88"/>
    <w:rsid w:val="003823C4"/>
    <w:rsid w:val="00390918"/>
    <w:rsid w:val="00390931"/>
    <w:rsid w:val="003A1ACD"/>
    <w:rsid w:val="003C2859"/>
    <w:rsid w:val="003F07EB"/>
    <w:rsid w:val="00401685"/>
    <w:rsid w:val="00411C6F"/>
    <w:rsid w:val="0042183F"/>
    <w:rsid w:val="00432240"/>
    <w:rsid w:val="004437E9"/>
    <w:rsid w:val="00451612"/>
    <w:rsid w:val="004535BB"/>
    <w:rsid w:val="00462E93"/>
    <w:rsid w:val="00470C80"/>
    <w:rsid w:val="004716FE"/>
    <w:rsid w:val="004B1054"/>
    <w:rsid w:val="004D676B"/>
    <w:rsid w:val="004E58A9"/>
    <w:rsid w:val="004F6524"/>
    <w:rsid w:val="004F6F1F"/>
    <w:rsid w:val="00501EFA"/>
    <w:rsid w:val="00505BBD"/>
    <w:rsid w:val="00524019"/>
    <w:rsid w:val="005363A2"/>
    <w:rsid w:val="0054473B"/>
    <w:rsid w:val="00562C17"/>
    <w:rsid w:val="005718FB"/>
    <w:rsid w:val="00574ABC"/>
    <w:rsid w:val="00577027"/>
    <w:rsid w:val="00581326"/>
    <w:rsid w:val="00592199"/>
    <w:rsid w:val="005B041E"/>
    <w:rsid w:val="005B26CE"/>
    <w:rsid w:val="005B3DF9"/>
    <w:rsid w:val="005B46AC"/>
    <w:rsid w:val="005D1BA5"/>
    <w:rsid w:val="005D2514"/>
    <w:rsid w:val="005D6EBB"/>
    <w:rsid w:val="005D7589"/>
    <w:rsid w:val="005F727B"/>
    <w:rsid w:val="006035FF"/>
    <w:rsid w:val="006116C9"/>
    <w:rsid w:val="0061692F"/>
    <w:rsid w:val="006207C6"/>
    <w:rsid w:val="00646797"/>
    <w:rsid w:val="00652FD1"/>
    <w:rsid w:val="00655686"/>
    <w:rsid w:val="0065605E"/>
    <w:rsid w:val="006639A4"/>
    <w:rsid w:val="0067554E"/>
    <w:rsid w:val="006A3007"/>
    <w:rsid w:val="006C216F"/>
    <w:rsid w:val="00713E5B"/>
    <w:rsid w:val="00714DC4"/>
    <w:rsid w:val="00733788"/>
    <w:rsid w:val="00742E99"/>
    <w:rsid w:val="00743931"/>
    <w:rsid w:val="007532C4"/>
    <w:rsid w:val="00756DC4"/>
    <w:rsid w:val="00763BB6"/>
    <w:rsid w:val="00776EC7"/>
    <w:rsid w:val="00783E56"/>
    <w:rsid w:val="007869E3"/>
    <w:rsid w:val="00791387"/>
    <w:rsid w:val="007A44E3"/>
    <w:rsid w:val="007C42A1"/>
    <w:rsid w:val="007C7455"/>
    <w:rsid w:val="007D315C"/>
    <w:rsid w:val="007D5042"/>
    <w:rsid w:val="0080135D"/>
    <w:rsid w:val="00806E8A"/>
    <w:rsid w:val="008278F2"/>
    <w:rsid w:val="00856822"/>
    <w:rsid w:val="0086586C"/>
    <w:rsid w:val="00866EA1"/>
    <w:rsid w:val="0088623A"/>
    <w:rsid w:val="0089060E"/>
    <w:rsid w:val="008B5FE4"/>
    <w:rsid w:val="008D250C"/>
    <w:rsid w:val="008D37A0"/>
    <w:rsid w:val="008D5962"/>
    <w:rsid w:val="008E1FAF"/>
    <w:rsid w:val="008F309C"/>
    <w:rsid w:val="008F3FBB"/>
    <w:rsid w:val="00902274"/>
    <w:rsid w:val="00904F87"/>
    <w:rsid w:val="009171C0"/>
    <w:rsid w:val="00920D0A"/>
    <w:rsid w:val="00937FC9"/>
    <w:rsid w:val="00946888"/>
    <w:rsid w:val="00946B82"/>
    <w:rsid w:val="00960CBC"/>
    <w:rsid w:val="009610D9"/>
    <w:rsid w:val="00966C79"/>
    <w:rsid w:val="009838CC"/>
    <w:rsid w:val="00996F81"/>
    <w:rsid w:val="009B1F57"/>
    <w:rsid w:val="009B6518"/>
    <w:rsid w:val="009C2B8B"/>
    <w:rsid w:val="009E53CE"/>
    <w:rsid w:val="009E62BB"/>
    <w:rsid w:val="009F38A3"/>
    <w:rsid w:val="00A0151E"/>
    <w:rsid w:val="00A018AE"/>
    <w:rsid w:val="00A057CD"/>
    <w:rsid w:val="00A11E9E"/>
    <w:rsid w:val="00A23EB0"/>
    <w:rsid w:val="00A23EBB"/>
    <w:rsid w:val="00A264A9"/>
    <w:rsid w:val="00A3297F"/>
    <w:rsid w:val="00A35204"/>
    <w:rsid w:val="00A36749"/>
    <w:rsid w:val="00A47B08"/>
    <w:rsid w:val="00A51AED"/>
    <w:rsid w:val="00A53685"/>
    <w:rsid w:val="00A60343"/>
    <w:rsid w:val="00A60CB7"/>
    <w:rsid w:val="00A675F8"/>
    <w:rsid w:val="00A75981"/>
    <w:rsid w:val="00A87DCA"/>
    <w:rsid w:val="00A96E0C"/>
    <w:rsid w:val="00AA33D4"/>
    <w:rsid w:val="00AA37AC"/>
    <w:rsid w:val="00AA4E43"/>
    <w:rsid w:val="00AE1C78"/>
    <w:rsid w:val="00AE3F15"/>
    <w:rsid w:val="00AF13E5"/>
    <w:rsid w:val="00AF6EE9"/>
    <w:rsid w:val="00B21AA6"/>
    <w:rsid w:val="00B365C7"/>
    <w:rsid w:val="00B4130E"/>
    <w:rsid w:val="00B41C79"/>
    <w:rsid w:val="00B41C7C"/>
    <w:rsid w:val="00B543E2"/>
    <w:rsid w:val="00B61837"/>
    <w:rsid w:val="00B76FCF"/>
    <w:rsid w:val="00B84788"/>
    <w:rsid w:val="00B853DE"/>
    <w:rsid w:val="00B92C41"/>
    <w:rsid w:val="00B96767"/>
    <w:rsid w:val="00BB0A68"/>
    <w:rsid w:val="00BB6634"/>
    <w:rsid w:val="00BC0F13"/>
    <w:rsid w:val="00BC3982"/>
    <w:rsid w:val="00BC3A08"/>
    <w:rsid w:val="00BD1609"/>
    <w:rsid w:val="00BE5651"/>
    <w:rsid w:val="00BF5806"/>
    <w:rsid w:val="00C018D7"/>
    <w:rsid w:val="00C06775"/>
    <w:rsid w:val="00C06BBF"/>
    <w:rsid w:val="00C22653"/>
    <w:rsid w:val="00C30ECE"/>
    <w:rsid w:val="00C35B7E"/>
    <w:rsid w:val="00C367EE"/>
    <w:rsid w:val="00C46878"/>
    <w:rsid w:val="00C5225F"/>
    <w:rsid w:val="00C53414"/>
    <w:rsid w:val="00C619C0"/>
    <w:rsid w:val="00C6256D"/>
    <w:rsid w:val="00C73680"/>
    <w:rsid w:val="00C8273C"/>
    <w:rsid w:val="00C92377"/>
    <w:rsid w:val="00C92CA8"/>
    <w:rsid w:val="00C94AD2"/>
    <w:rsid w:val="00CB1947"/>
    <w:rsid w:val="00CB57BF"/>
    <w:rsid w:val="00CC00E5"/>
    <w:rsid w:val="00CC46D2"/>
    <w:rsid w:val="00CC6BD6"/>
    <w:rsid w:val="00CD2B08"/>
    <w:rsid w:val="00CE0C02"/>
    <w:rsid w:val="00CF3071"/>
    <w:rsid w:val="00CF56D9"/>
    <w:rsid w:val="00D02A58"/>
    <w:rsid w:val="00D26885"/>
    <w:rsid w:val="00D365CC"/>
    <w:rsid w:val="00D52DA5"/>
    <w:rsid w:val="00D61C60"/>
    <w:rsid w:val="00D6449C"/>
    <w:rsid w:val="00D830DC"/>
    <w:rsid w:val="00D83C1B"/>
    <w:rsid w:val="00D85326"/>
    <w:rsid w:val="00D85A5F"/>
    <w:rsid w:val="00D964D9"/>
    <w:rsid w:val="00D97960"/>
    <w:rsid w:val="00DB07F8"/>
    <w:rsid w:val="00DB28CF"/>
    <w:rsid w:val="00DB5164"/>
    <w:rsid w:val="00DC0D7D"/>
    <w:rsid w:val="00DC5E04"/>
    <w:rsid w:val="00E009BF"/>
    <w:rsid w:val="00E15126"/>
    <w:rsid w:val="00E369EC"/>
    <w:rsid w:val="00E42987"/>
    <w:rsid w:val="00E70365"/>
    <w:rsid w:val="00E70F7B"/>
    <w:rsid w:val="00E72FF5"/>
    <w:rsid w:val="00E7553B"/>
    <w:rsid w:val="00E909FC"/>
    <w:rsid w:val="00E92910"/>
    <w:rsid w:val="00EC5AF1"/>
    <w:rsid w:val="00ED18D0"/>
    <w:rsid w:val="00ED6ACD"/>
    <w:rsid w:val="00EE0FEC"/>
    <w:rsid w:val="00EF412E"/>
    <w:rsid w:val="00F01DAF"/>
    <w:rsid w:val="00F11F37"/>
    <w:rsid w:val="00F37825"/>
    <w:rsid w:val="00F41F32"/>
    <w:rsid w:val="00F555EA"/>
    <w:rsid w:val="00F5692C"/>
    <w:rsid w:val="00F719CE"/>
    <w:rsid w:val="00F7212A"/>
    <w:rsid w:val="00F728CC"/>
    <w:rsid w:val="00F925E9"/>
    <w:rsid w:val="00FA126C"/>
    <w:rsid w:val="00FB284B"/>
    <w:rsid w:val="00FE247F"/>
    <w:rsid w:val="00FE3D74"/>
    <w:rsid w:val="00FF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42B62C1"/>
  <w15:chartTrackingRefBased/>
  <w15:docId w15:val="{D903416A-534F-47AC-9EAB-CC167882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5A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3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FBB"/>
  </w:style>
  <w:style w:type="paragraph" w:styleId="Footer">
    <w:name w:val="footer"/>
    <w:basedOn w:val="Normal"/>
    <w:link w:val="FooterChar"/>
    <w:uiPriority w:val="99"/>
    <w:unhideWhenUsed/>
    <w:rsid w:val="008F3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FBB"/>
  </w:style>
  <w:style w:type="table" w:styleId="TableGrid">
    <w:name w:val="Table Grid"/>
    <w:basedOn w:val="TableNormal"/>
    <w:uiPriority w:val="39"/>
    <w:rsid w:val="008F3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6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Lai</dc:creator>
  <cp:keywords/>
  <dc:description/>
  <cp:lastModifiedBy>Stephen Lai</cp:lastModifiedBy>
  <cp:revision>3</cp:revision>
  <dcterms:created xsi:type="dcterms:W3CDTF">2021-03-24T06:49:00Z</dcterms:created>
  <dcterms:modified xsi:type="dcterms:W3CDTF">2021-03-24T06:50:00Z</dcterms:modified>
</cp:coreProperties>
</file>